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08" w:rsidRDefault="00AE1A08" w:rsidP="00AE1A08">
      <w:pPr>
        <w:spacing w:after="0"/>
        <w:rPr>
          <w:lang w:val="en-GB"/>
        </w:rPr>
      </w:pPr>
      <w:bookmarkStart w:id="0" w:name="_GoBack"/>
      <w:r>
        <w:rPr>
          <w:lang w:val="en-GB"/>
        </w:rPr>
        <w:t>Texts about...that you might find helpful:</w:t>
      </w:r>
    </w:p>
    <w:bookmarkEnd w:id="0"/>
    <w:p w:rsidR="00AE1A08" w:rsidRDefault="00AE1A08" w:rsidP="00AE1A08">
      <w:pPr>
        <w:spacing w:after="0"/>
        <w:rPr>
          <w:lang w:val="en-GB"/>
        </w:rPr>
      </w:pPr>
    </w:p>
    <w:p w:rsidR="00AE1A08" w:rsidRPr="00C71EFF" w:rsidRDefault="00AE1A08" w:rsidP="00AE1A08">
      <w:pPr>
        <w:spacing w:after="0"/>
        <w:rPr>
          <w:b/>
          <w:lang w:val="en-GB"/>
        </w:rPr>
      </w:pPr>
      <w:r w:rsidRPr="00C71EFF">
        <w:rPr>
          <w:b/>
          <w:lang w:val="en-GB"/>
        </w:rPr>
        <w:t>About Hiša eksperimentov:</w:t>
      </w:r>
    </w:p>
    <w:p w:rsidR="00AE1A08" w:rsidRDefault="00AE1A08" w:rsidP="00AE1A08">
      <w:pPr>
        <w:rPr>
          <w:sz w:val="18"/>
          <w:lang w:val="en-GB"/>
        </w:rPr>
      </w:pPr>
      <w:r>
        <w:rPr>
          <w:sz w:val="18"/>
          <w:lang w:val="en-GB"/>
        </w:rPr>
        <w:t xml:space="preserve">The Hiša eksperimentov (HE) is a "hands-on" science centre. The idea of establishing such centre started in 1994. HE was established as non-profit foundation in 1996. HE attracts yearly around 25.000 visitors. </w:t>
      </w:r>
    </w:p>
    <w:p w:rsidR="00AE1A08" w:rsidRDefault="00AE1A08" w:rsidP="00AE1A08">
      <w:pPr>
        <w:rPr>
          <w:sz w:val="18"/>
          <w:lang w:val="en-GB"/>
        </w:rPr>
      </w:pPr>
      <w:r>
        <w:rPr>
          <w:sz w:val="18"/>
          <w:lang w:val="en-GB"/>
        </w:rPr>
        <w:t xml:space="preserve">It is a place where the enjoyment of learning, promoting of science and humour intertwine. In HE visitors can interact with over 50 "hands-on" exhibits with all being developed, designed and build in HE. </w:t>
      </w:r>
    </w:p>
    <w:p w:rsidR="00AE1A08" w:rsidRDefault="00AE1A08" w:rsidP="00AE1A08">
      <w:pPr>
        <w:rPr>
          <w:sz w:val="18"/>
          <w:lang w:val="en-GB"/>
        </w:rPr>
      </w:pPr>
      <w:r>
        <w:rPr>
          <w:sz w:val="18"/>
          <w:lang w:val="en-GB"/>
        </w:rPr>
        <w:t>The statement "Learning is fun" describes HE main mission – promotion of the enjoyment in learning. It is obvious that learning by experimenting and testing yourself by yourself is the right way to obtain new knowledge and increase the desire to acquire even more.</w:t>
      </w:r>
    </w:p>
    <w:p w:rsidR="00AE1A08" w:rsidRDefault="00AE1A08" w:rsidP="00AE1A08">
      <w:pPr>
        <w:rPr>
          <w:sz w:val="18"/>
          <w:lang w:val="en-GB"/>
        </w:rPr>
      </w:pPr>
      <w:r>
        <w:rPr>
          <w:sz w:val="18"/>
          <w:lang w:val="en-GB"/>
        </w:rPr>
        <w:t xml:space="preserve">From 2009 HE organises yearly event called </w:t>
      </w:r>
      <w:proofErr w:type="spellStart"/>
      <w:r>
        <w:rPr>
          <w:sz w:val="18"/>
          <w:lang w:val="en-GB"/>
        </w:rPr>
        <w:t>Znanstival</w:t>
      </w:r>
      <w:proofErr w:type="spellEnd"/>
      <w:r>
        <w:rPr>
          <w:sz w:val="18"/>
          <w:lang w:val="en-GB"/>
        </w:rPr>
        <w:t xml:space="preserve"> (</w:t>
      </w:r>
      <w:proofErr w:type="spellStart"/>
      <w:r>
        <w:rPr>
          <w:sz w:val="18"/>
          <w:lang w:val="en-GB"/>
        </w:rPr>
        <w:t>Sciencetival</w:t>
      </w:r>
      <w:proofErr w:type="spellEnd"/>
      <w:r>
        <w:rPr>
          <w:sz w:val="18"/>
          <w:lang w:val="en-GB"/>
        </w:rPr>
        <w:t>) – an outdoors science festival consisting mainly of science shows, lectures... (</w:t>
      </w:r>
      <w:proofErr w:type="spellStart"/>
      <w:r>
        <w:rPr>
          <w:sz w:val="18"/>
          <w:lang w:val="en-GB"/>
        </w:rPr>
        <w:fldChar w:fldCharType="begin"/>
      </w:r>
      <w:r>
        <w:rPr>
          <w:sz w:val="18"/>
          <w:lang w:val="en-GB"/>
        </w:rPr>
        <w:instrText xml:space="preserve"> HYPERLINK "http://</w:instrText>
      </w:r>
      <w:r w:rsidRPr="00AE1A08">
        <w:rPr>
          <w:sz w:val="18"/>
          <w:lang w:val="en-GB"/>
        </w:rPr>
        <w:instrText>www.sciencetival.si</w:instrText>
      </w:r>
      <w:r>
        <w:rPr>
          <w:sz w:val="18"/>
          <w:lang w:val="en-GB"/>
        </w:rPr>
        <w:instrText xml:space="preserve">" </w:instrText>
      </w:r>
      <w:r>
        <w:rPr>
          <w:sz w:val="18"/>
          <w:lang w:val="en-GB"/>
        </w:rPr>
        <w:fldChar w:fldCharType="separate"/>
      </w:r>
      <w:r w:rsidRPr="002C7FFC">
        <w:rPr>
          <w:rStyle w:val="Hyperlink"/>
          <w:sz w:val="18"/>
          <w:lang w:val="en-GB"/>
        </w:rPr>
        <w:t>www.sciencetival.si</w:t>
      </w:r>
      <w:proofErr w:type="spellEnd"/>
      <w:r>
        <w:rPr>
          <w:sz w:val="18"/>
          <w:lang w:val="en-GB"/>
        </w:rPr>
        <w:fldChar w:fldCharType="end"/>
      </w:r>
      <w:r>
        <w:rPr>
          <w:sz w:val="18"/>
          <w:lang w:val="en-GB"/>
        </w:rPr>
        <w:t>). In 2013 HE started INSPIRE (</w:t>
      </w:r>
      <w:proofErr w:type="spellStart"/>
      <w:r>
        <w:rPr>
          <w:sz w:val="18"/>
          <w:lang w:val="en-GB"/>
        </w:rPr>
        <w:t>INternational</w:t>
      </w:r>
      <w:proofErr w:type="spellEnd"/>
      <w:r>
        <w:rPr>
          <w:sz w:val="18"/>
          <w:lang w:val="en-GB"/>
        </w:rPr>
        <w:t xml:space="preserve"> »Science Performance Is Ready« Event) – workshop for creating and running science shows (</w:t>
      </w:r>
      <w:proofErr w:type="spellStart"/>
      <w:r>
        <w:rPr>
          <w:lang w:val="en-GB"/>
        </w:rPr>
        <w:fldChar w:fldCharType="begin"/>
      </w:r>
      <w:r>
        <w:rPr>
          <w:lang w:val="en-GB"/>
        </w:rPr>
        <w:instrText xml:space="preserve"> HYPERLINK "http://www.ispire.si" </w:instrText>
      </w:r>
      <w:r>
        <w:rPr>
          <w:lang w:val="en-GB"/>
        </w:rPr>
        <w:fldChar w:fldCharType="separate"/>
      </w:r>
      <w:r>
        <w:rPr>
          <w:rStyle w:val="Hyperlink"/>
          <w:sz w:val="18"/>
          <w:lang w:val="en-GB"/>
        </w:rPr>
        <w:t>www.ispire.si</w:t>
      </w:r>
      <w:proofErr w:type="spellEnd"/>
      <w:r>
        <w:rPr>
          <w:lang w:val="en-GB"/>
        </w:rPr>
        <w:fldChar w:fldCharType="end"/>
      </w:r>
      <w:r>
        <w:rPr>
          <w:sz w:val="18"/>
          <w:lang w:val="en-GB"/>
        </w:rPr>
        <w:t>).</w:t>
      </w:r>
    </w:p>
    <w:p w:rsidR="00AE1A08" w:rsidRDefault="00AE1A08" w:rsidP="00AE1A08">
      <w:pPr>
        <w:spacing w:after="0"/>
        <w:rPr>
          <w:lang w:val="en-GB"/>
        </w:rPr>
      </w:pPr>
    </w:p>
    <w:p w:rsidR="00AE1A08" w:rsidRPr="00E20AB4" w:rsidRDefault="00AE1A08" w:rsidP="00AE1A08">
      <w:pPr>
        <w:spacing w:after="0"/>
        <w:rPr>
          <w:b/>
          <w:lang w:val="en-GB"/>
        </w:rPr>
      </w:pPr>
      <w:r w:rsidRPr="00C71EFF">
        <w:rPr>
          <w:b/>
          <w:lang w:val="en-GB"/>
        </w:rPr>
        <w:t>About INSPIRE course:</w:t>
      </w:r>
    </w:p>
    <w:p w:rsidR="00AE1A08" w:rsidRDefault="00AE1A08" w:rsidP="00AE1A08">
      <w:pPr>
        <w:spacing w:after="0"/>
        <w:rPr>
          <w:sz w:val="18"/>
          <w:szCs w:val="18"/>
          <w:lang w:val="en-GB"/>
        </w:rPr>
      </w:pPr>
      <w:r>
        <w:rPr>
          <w:sz w:val="18"/>
          <w:szCs w:val="18"/>
          <w:lang w:val="en-GB"/>
        </w:rPr>
        <w:t xml:space="preserve">This year HE organises the </w:t>
      </w:r>
      <w:r w:rsidR="00C71EFF">
        <w:rPr>
          <w:sz w:val="18"/>
          <w:szCs w:val="18"/>
          <w:lang w:val="en-GB"/>
        </w:rPr>
        <w:t>fourth</w:t>
      </w:r>
      <w:r>
        <w:rPr>
          <w:sz w:val="18"/>
          <w:szCs w:val="18"/>
          <w:lang w:val="en-GB"/>
        </w:rPr>
        <w:t xml:space="preserve">  (</w:t>
      </w:r>
      <w:proofErr w:type="spellStart"/>
      <w:r>
        <w:rPr>
          <w:sz w:val="18"/>
          <w:szCs w:val="18"/>
          <w:lang w:val="en-GB"/>
        </w:rPr>
        <w:t>INternational</w:t>
      </w:r>
      <w:proofErr w:type="spellEnd"/>
      <w:r>
        <w:rPr>
          <w:sz w:val="18"/>
          <w:szCs w:val="18"/>
          <w:lang w:val="en-GB"/>
        </w:rPr>
        <w:t xml:space="preserve"> »Science Performance Is Ready« Event). During the five day workshop participants will very actively learn how to:</w:t>
      </w:r>
    </w:p>
    <w:p w:rsidR="00AE1A08" w:rsidRDefault="00AE1A08" w:rsidP="00AE1A08">
      <w:pPr>
        <w:pStyle w:val="ListParagraph"/>
        <w:numPr>
          <w:ilvl w:val="0"/>
          <w:numId w:val="2"/>
        </w:numPr>
        <w:rPr>
          <w:sz w:val="18"/>
          <w:szCs w:val="18"/>
          <w:lang w:val="en-GB"/>
        </w:rPr>
      </w:pPr>
      <w:r>
        <w:rPr>
          <w:sz w:val="18"/>
          <w:szCs w:val="18"/>
          <w:lang w:val="en-GB"/>
        </w:rPr>
        <w:t>Choose a topic for the science show,</w:t>
      </w:r>
    </w:p>
    <w:p w:rsidR="00AE1A08" w:rsidRDefault="00AE1A08" w:rsidP="00AE1A08">
      <w:pPr>
        <w:pStyle w:val="ListParagraph"/>
        <w:numPr>
          <w:ilvl w:val="0"/>
          <w:numId w:val="2"/>
        </w:numPr>
        <w:rPr>
          <w:sz w:val="18"/>
          <w:szCs w:val="18"/>
          <w:lang w:val="en-GB"/>
        </w:rPr>
      </w:pPr>
      <w:r>
        <w:rPr>
          <w:sz w:val="18"/>
          <w:szCs w:val="18"/>
          <w:lang w:val="en-GB"/>
        </w:rPr>
        <w:t>Start planning a science show,</w:t>
      </w:r>
    </w:p>
    <w:p w:rsidR="00AE1A08" w:rsidRDefault="00AE1A08" w:rsidP="00AE1A08">
      <w:pPr>
        <w:pStyle w:val="ListParagraph"/>
        <w:numPr>
          <w:ilvl w:val="0"/>
          <w:numId w:val="2"/>
        </w:numPr>
        <w:rPr>
          <w:sz w:val="18"/>
          <w:szCs w:val="18"/>
          <w:lang w:val="en-GB"/>
        </w:rPr>
      </w:pPr>
      <w:r>
        <w:rPr>
          <w:sz w:val="18"/>
          <w:szCs w:val="18"/>
          <w:lang w:val="en-GB"/>
        </w:rPr>
        <w:t>Add humour without being silly,</w:t>
      </w:r>
    </w:p>
    <w:p w:rsidR="00AE1A08" w:rsidRDefault="00AE1A08" w:rsidP="00AE1A08">
      <w:pPr>
        <w:pStyle w:val="ListParagraph"/>
        <w:numPr>
          <w:ilvl w:val="0"/>
          <w:numId w:val="2"/>
        </w:numPr>
        <w:rPr>
          <w:sz w:val="18"/>
          <w:szCs w:val="18"/>
          <w:lang w:val="en-GB"/>
        </w:rPr>
      </w:pPr>
      <w:r>
        <w:rPr>
          <w:sz w:val="18"/>
          <w:szCs w:val="18"/>
          <w:lang w:val="en-GB"/>
        </w:rPr>
        <w:t>Avoid mistakes and traps,</w:t>
      </w:r>
    </w:p>
    <w:p w:rsidR="00AE1A08" w:rsidRDefault="00AE1A08" w:rsidP="00AE1A08">
      <w:pPr>
        <w:pStyle w:val="ListParagraph"/>
        <w:numPr>
          <w:ilvl w:val="0"/>
          <w:numId w:val="2"/>
        </w:numPr>
        <w:rPr>
          <w:sz w:val="18"/>
          <w:szCs w:val="18"/>
          <w:lang w:val="en-GB"/>
        </w:rPr>
      </w:pPr>
      <w:r>
        <w:rPr>
          <w:sz w:val="18"/>
          <w:szCs w:val="18"/>
          <w:lang w:val="en-GB"/>
        </w:rPr>
        <w:t>Engage audience in active participation,</w:t>
      </w:r>
    </w:p>
    <w:p w:rsidR="00AE1A08" w:rsidRDefault="00AE1A08" w:rsidP="00AE1A08">
      <w:pPr>
        <w:pStyle w:val="ListParagraph"/>
        <w:numPr>
          <w:ilvl w:val="0"/>
          <w:numId w:val="2"/>
        </w:numPr>
        <w:rPr>
          <w:sz w:val="18"/>
          <w:szCs w:val="18"/>
          <w:lang w:val="en-GB"/>
        </w:rPr>
      </w:pPr>
      <w:r>
        <w:rPr>
          <w:sz w:val="18"/>
          <w:szCs w:val="18"/>
          <w:lang w:val="en-GB"/>
        </w:rPr>
        <w:t>Develop acting skills needed for successful performance,</w:t>
      </w:r>
    </w:p>
    <w:p w:rsidR="00AE1A08" w:rsidRDefault="00AE1A08" w:rsidP="00AE1A08">
      <w:pPr>
        <w:pStyle w:val="ListParagraph"/>
        <w:numPr>
          <w:ilvl w:val="0"/>
          <w:numId w:val="2"/>
        </w:numPr>
        <w:rPr>
          <w:sz w:val="18"/>
          <w:szCs w:val="18"/>
          <w:lang w:val="en-GB"/>
        </w:rPr>
      </w:pPr>
      <w:r>
        <w:rPr>
          <w:sz w:val="18"/>
          <w:szCs w:val="18"/>
          <w:lang w:val="en-GB"/>
        </w:rPr>
        <w:t>Communicate Science.</w:t>
      </w:r>
    </w:p>
    <w:p w:rsidR="00AE1A08" w:rsidRDefault="00AE1A08" w:rsidP="00AE1A08">
      <w:pPr>
        <w:rPr>
          <w:sz w:val="18"/>
          <w:szCs w:val="18"/>
          <w:lang w:val="en-GB"/>
        </w:rPr>
      </w:pPr>
      <w:r>
        <w:rPr>
          <w:sz w:val="18"/>
          <w:szCs w:val="18"/>
          <w:lang w:val="en-GB"/>
        </w:rPr>
        <w:t xml:space="preserve">The organiser of the event is Hiša eksperimentov ( </w:t>
      </w:r>
      <w:hyperlink r:id="rId5" w:history="1">
        <w:proofErr w:type="spellStart"/>
        <w:r>
          <w:rPr>
            <w:rStyle w:val="Hyperlink"/>
            <w:sz w:val="18"/>
            <w:szCs w:val="18"/>
            <w:lang w:val="en-GB"/>
          </w:rPr>
          <w:t>www.he.si</w:t>
        </w:r>
        <w:proofErr w:type="spellEnd"/>
      </w:hyperlink>
      <w:r>
        <w:rPr>
          <w:sz w:val="18"/>
          <w:szCs w:val="18"/>
          <w:lang w:val="en-GB"/>
        </w:rPr>
        <w:t xml:space="preserve"> ) – the Slovenian Science Centre. It is a </w:t>
      </w:r>
      <w:proofErr w:type="spellStart"/>
      <w:r>
        <w:rPr>
          <w:sz w:val="18"/>
          <w:szCs w:val="18"/>
          <w:lang w:val="en-GB"/>
        </w:rPr>
        <w:t>nano</w:t>
      </w:r>
      <w:proofErr w:type="spellEnd"/>
      <w:r>
        <w:rPr>
          <w:sz w:val="18"/>
          <w:szCs w:val="18"/>
          <w:lang w:val="en-GB"/>
        </w:rPr>
        <w:t xml:space="preserve"> Science Centre – small in size but powerful with activities. The </w:t>
      </w:r>
      <w:proofErr w:type="spellStart"/>
      <w:r>
        <w:rPr>
          <w:sz w:val="18"/>
          <w:szCs w:val="18"/>
          <w:lang w:val="en-GB"/>
        </w:rPr>
        <w:t>Hiša's</w:t>
      </w:r>
      <w:proofErr w:type="spellEnd"/>
      <w:r>
        <w:rPr>
          <w:sz w:val="18"/>
          <w:szCs w:val="18"/>
          <w:lang w:val="en-GB"/>
        </w:rPr>
        <w:t xml:space="preserve"> "specialities" are science shows (or Science Adventures) enriched with experiments, interaction and humour wrapped in stories. It takes some time and effort to build a science show and Hiša would like to share their experiences with others.</w:t>
      </w:r>
    </w:p>
    <w:p w:rsidR="00AE1A08" w:rsidRDefault="00AE1A08" w:rsidP="00AE1A08">
      <w:pPr>
        <w:rPr>
          <w:sz w:val="18"/>
          <w:szCs w:val="18"/>
          <w:lang w:val="en-GB"/>
        </w:rPr>
      </w:pPr>
      <w:r>
        <w:rPr>
          <w:sz w:val="18"/>
          <w:szCs w:val="18"/>
          <w:lang w:val="en-GB"/>
        </w:rPr>
        <w:t>Hiša also organises “</w:t>
      </w:r>
      <w:proofErr w:type="spellStart"/>
      <w:r>
        <w:rPr>
          <w:sz w:val="18"/>
          <w:szCs w:val="18"/>
          <w:lang w:val="en-GB"/>
        </w:rPr>
        <w:t>Sciencetival</w:t>
      </w:r>
      <w:proofErr w:type="spellEnd"/>
      <w:r>
        <w:rPr>
          <w:sz w:val="18"/>
          <w:szCs w:val="18"/>
          <w:lang w:val="en-GB"/>
        </w:rPr>
        <w:t xml:space="preserve">” - the annual four days Science Festival on the bridges, squares and streets of Ljubljana (capital of Slovenia)( </w:t>
      </w:r>
      <w:hyperlink r:id="rId6" w:history="1">
        <w:proofErr w:type="spellStart"/>
        <w:r>
          <w:rPr>
            <w:rStyle w:val="Hyperlink"/>
            <w:sz w:val="18"/>
            <w:szCs w:val="18"/>
            <w:lang w:val="en-GB"/>
          </w:rPr>
          <w:t>www.sciencetival.si</w:t>
        </w:r>
        <w:proofErr w:type="spellEnd"/>
      </w:hyperlink>
      <w:r>
        <w:rPr>
          <w:sz w:val="18"/>
          <w:szCs w:val="18"/>
          <w:lang w:val="en-GB"/>
        </w:rPr>
        <w:t xml:space="preserve"> ). This year </w:t>
      </w:r>
      <w:proofErr w:type="spellStart"/>
      <w:r>
        <w:rPr>
          <w:sz w:val="18"/>
          <w:szCs w:val="18"/>
          <w:lang w:val="en-GB"/>
        </w:rPr>
        <w:t>Sciencetival</w:t>
      </w:r>
      <w:proofErr w:type="spellEnd"/>
      <w:r>
        <w:rPr>
          <w:sz w:val="18"/>
          <w:szCs w:val="18"/>
          <w:lang w:val="en-GB"/>
        </w:rPr>
        <w:t xml:space="preserve"> will partly overlap with the INSPIRE workshop providing a perfect environment for the participants to test their learned skills in front of public.</w:t>
      </w:r>
    </w:p>
    <w:p w:rsidR="0017073A" w:rsidRDefault="00AE1A08" w:rsidP="00AE1A08">
      <w:pPr>
        <w:rPr>
          <w:sz w:val="18"/>
          <w:szCs w:val="18"/>
          <w:lang w:val="en-GB"/>
        </w:rPr>
      </w:pPr>
      <w:r>
        <w:rPr>
          <w:sz w:val="18"/>
          <w:szCs w:val="18"/>
          <w:lang w:val="en-GB"/>
        </w:rPr>
        <w:t>The INSPIRE workshop is designed for activity or education departments and individuals who would like to acquire useful knowledge from the field of creating and running science shows.</w:t>
      </w:r>
    </w:p>
    <w:p w:rsidR="00E20AB4" w:rsidRDefault="00E20AB4" w:rsidP="00E20AB4">
      <w:pPr>
        <w:spacing w:after="0"/>
        <w:rPr>
          <w:b/>
          <w:lang w:val="en-GB"/>
        </w:rPr>
      </w:pPr>
      <w:r>
        <w:rPr>
          <w:b/>
          <w:lang w:val="en-GB"/>
        </w:rPr>
        <w:t>How to prepare for the course?</w:t>
      </w:r>
    </w:p>
    <w:p w:rsidR="00E20AB4" w:rsidRDefault="0017073A" w:rsidP="00E20AB4">
      <w:pPr>
        <w:spacing w:after="0"/>
        <w:rPr>
          <w:sz w:val="18"/>
          <w:szCs w:val="18"/>
          <w:lang w:val="en-GB"/>
        </w:rPr>
      </w:pPr>
      <w:r>
        <w:rPr>
          <w:sz w:val="18"/>
          <w:szCs w:val="18"/>
          <w:lang w:val="en-GB"/>
        </w:rPr>
        <w:t>Participants are asked to prepare short demonstration</w:t>
      </w:r>
      <w:r w:rsidR="00E20AB4">
        <w:rPr>
          <w:sz w:val="18"/>
          <w:szCs w:val="18"/>
          <w:lang w:val="en-GB"/>
        </w:rPr>
        <w:t>/show to share with other participants and lay public in a busking manner.</w:t>
      </w:r>
      <w:r w:rsidR="00AE1A08">
        <w:rPr>
          <w:sz w:val="18"/>
          <w:szCs w:val="18"/>
          <w:lang w:val="en-GB"/>
        </w:rPr>
        <w:br/>
      </w:r>
      <w:r w:rsidR="00E20AB4">
        <w:rPr>
          <w:sz w:val="18"/>
          <w:szCs w:val="18"/>
          <w:lang w:val="en-GB"/>
        </w:rPr>
        <w:t>Additionally they are asked to consider the theme of the show they want to build on and will fit their institution strategy.</w:t>
      </w:r>
    </w:p>
    <w:p w:rsidR="00E20AB4" w:rsidRPr="00E20AB4" w:rsidRDefault="00E20AB4" w:rsidP="00E20AB4">
      <w:pPr>
        <w:spacing w:after="0"/>
        <w:rPr>
          <w:sz w:val="18"/>
          <w:szCs w:val="18"/>
          <w:lang w:val="en-GB"/>
        </w:rPr>
      </w:pPr>
      <w:r>
        <w:rPr>
          <w:sz w:val="18"/>
          <w:szCs w:val="18"/>
          <w:lang w:val="en-GB"/>
        </w:rPr>
        <w:t>Since the course is in English some language exercises can come in handy.</w:t>
      </w:r>
    </w:p>
    <w:p w:rsidR="00E20AB4" w:rsidRDefault="00E20AB4" w:rsidP="00C71EFF">
      <w:pPr>
        <w:spacing w:after="0"/>
        <w:rPr>
          <w:b/>
          <w:lang w:val="en-GB"/>
        </w:rPr>
      </w:pPr>
    </w:p>
    <w:p w:rsidR="00C71EFF" w:rsidRPr="00C71EFF" w:rsidRDefault="00C71EFF" w:rsidP="00C71EFF">
      <w:pPr>
        <w:spacing w:after="0"/>
        <w:rPr>
          <w:b/>
          <w:lang w:val="en-GB"/>
        </w:rPr>
      </w:pPr>
      <w:r w:rsidRPr="00C71EFF">
        <w:rPr>
          <w:b/>
          <w:lang w:val="en-GB"/>
        </w:rPr>
        <w:t>What will you learn:</w:t>
      </w:r>
    </w:p>
    <w:p w:rsidR="00C71EFF" w:rsidRDefault="00C71EFF" w:rsidP="00AE1A08">
      <w:pPr>
        <w:rPr>
          <w:sz w:val="18"/>
          <w:lang w:val="en-GB"/>
        </w:rPr>
      </w:pPr>
      <w:r>
        <w:rPr>
          <w:sz w:val="18"/>
          <w:lang w:val="en-GB"/>
        </w:rPr>
        <w:t xml:space="preserve">During the INSPIRE course participants will gain knowledge about science communication through theory and practice. Five days training course is packed with different sessions about science communication, teaching methods, </w:t>
      </w:r>
      <w:r w:rsidR="0017073A">
        <w:rPr>
          <w:sz w:val="18"/>
          <w:lang w:val="en-GB"/>
        </w:rPr>
        <w:t>evaluation, acting, preforming on stage, interacting with visitors and building your own science show.</w:t>
      </w:r>
    </w:p>
    <w:p w:rsidR="00C71EFF" w:rsidRDefault="0017073A" w:rsidP="00AE1A08">
      <w:pPr>
        <w:rPr>
          <w:sz w:val="18"/>
          <w:lang w:val="en-GB"/>
        </w:rPr>
      </w:pPr>
      <w:r>
        <w:rPr>
          <w:sz w:val="18"/>
          <w:lang w:val="en-GB"/>
        </w:rPr>
        <w:t xml:space="preserve">After the end of the training participants not only create their own science show, but also present the show at international science festival </w:t>
      </w:r>
      <w:proofErr w:type="spellStart"/>
      <w:r w:rsidR="00E20AB4">
        <w:rPr>
          <w:sz w:val="18"/>
          <w:lang w:val="en-GB"/>
        </w:rPr>
        <w:t>Sciencetival</w:t>
      </w:r>
      <w:proofErr w:type="spellEnd"/>
      <w:r>
        <w:rPr>
          <w:sz w:val="18"/>
          <w:lang w:val="en-GB"/>
        </w:rPr>
        <w:t xml:space="preserve">. </w:t>
      </w:r>
      <w:proofErr w:type="spellStart"/>
      <w:r w:rsidR="00E20AB4">
        <w:rPr>
          <w:sz w:val="18"/>
          <w:lang w:val="en-GB"/>
        </w:rPr>
        <w:t>Scienceti</w:t>
      </w:r>
      <w:r>
        <w:rPr>
          <w:sz w:val="18"/>
          <w:lang w:val="en-GB"/>
        </w:rPr>
        <w:t>val</w:t>
      </w:r>
      <w:proofErr w:type="spellEnd"/>
      <w:r>
        <w:rPr>
          <w:sz w:val="18"/>
          <w:lang w:val="en-GB"/>
        </w:rPr>
        <w:t xml:space="preserve"> is an additional opportunity for participants to learn from their peers and science show masters from all over the world.</w:t>
      </w:r>
    </w:p>
    <w:p w:rsidR="0017073A" w:rsidRPr="0017073A" w:rsidRDefault="0017073A" w:rsidP="00AE1A08">
      <w:pPr>
        <w:rPr>
          <w:b/>
          <w:lang w:val="en-GB"/>
        </w:rPr>
      </w:pPr>
      <w:r w:rsidRPr="0017073A">
        <w:rPr>
          <w:b/>
          <w:lang w:val="en-GB"/>
        </w:rPr>
        <w:lastRenderedPageBreak/>
        <w:t>Key competences you will acquire:</w:t>
      </w:r>
    </w:p>
    <w:p w:rsidR="0017073A" w:rsidRDefault="0017073A" w:rsidP="0017073A">
      <w:pPr>
        <w:pStyle w:val="ListParagraph"/>
        <w:numPr>
          <w:ilvl w:val="0"/>
          <w:numId w:val="3"/>
        </w:numPr>
        <w:rPr>
          <w:sz w:val="18"/>
          <w:lang w:val="en-GB"/>
        </w:rPr>
      </w:pPr>
      <w:r>
        <w:rPr>
          <w:sz w:val="18"/>
          <w:lang w:val="en-GB"/>
        </w:rPr>
        <w:t>Recognizing and using different teaching methods</w:t>
      </w:r>
    </w:p>
    <w:p w:rsidR="0017073A" w:rsidRDefault="0017073A" w:rsidP="0017073A">
      <w:pPr>
        <w:pStyle w:val="ListParagraph"/>
        <w:numPr>
          <w:ilvl w:val="0"/>
          <w:numId w:val="3"/>
        </w:numPr>
        <w:rPr>
          <w:sz w:val="18"/>
          <w:lang w:val="en-GB"/>
        </w:rPr>
      </w:pPr>
      <w:r>
        <w:rPr>
          <w:sz w:val="18"/>
          <w:lang w:val="en-GB"/>
        </w:rPr>
        <w:t>Science communication skills</w:t>
      </w:r>
    </w:p>
    <w:p w:rsidR="0017073A" w:rsidRDefault="0017073A" w:rsidP="0017073A">
      <w:pPr>
        <w:pStyle w:val="ListParagraph"/>
        <w:numPr>
          <w:ilvl w:val="0"/>
          <w:numId w:val="3"/>
        </w:numPr>
        <w:rPr>
          <w:sz w:val="18"/>
          <w:lang w:val="en-GB"/>
        </w:rPr>
      </w:pPr>
      <w:r>
        <w:rPr>
          <w:sz w:val="18"/>
          <w:lang w:val="en-GB"/>
        </w:rPr>
        <w:t>Non-formal education skills</w:t>
      </w:r>
    </w:p>
    <w:p w:rsidR="0017073A" w:rsidRDefault="0017073A" w:rsidP="0017073A">
      <w:pPr>
        <w:pStyle w:val="ListParagraph"/>
        <w:numPr>
          <w:ilvl w:val="0"/>
          <w:numId w:val="3"/>
        </w:numPr>
        <w:rPr>
          <w:sz w:val="18"/>
          <w:lang w:val="en-GB"/>
        </w:rPr>
      </w:pPr>
      <w:r>
        <w:rPr>
          <w:sz w:val="18"/>
          <w:lang w:val="en-GB"/>
        </w:rPr>
        <w:t>Stage performance skills</w:t>
      </w:r>
    </w:p>
    <w:p w:rsidR="0017073A" w:rsidRDefault="0017073A" w:rsidP="0017073A">
      <w:pPr>
        <w:pStyle w:val="ListParagraph"/>
        <w:numPr>
          <w:ilvl w:val="0"/>
          <w:numId w:val="3"/>
        </w:numPr>
        <w:rPr>
          <w:sz w:val="18"/>
          <w:lang w:val="en-GB"/>
        </w:rPr>
      </w:pPr>
      <w:r>
        <w:rPr>
          <w:sz w:val="18"/>
          <w:lang w:val="en-GB"/>
        </w:rPr>
        <w:t>Communicating with different audiences</w:t>
      </w:r>
    </w:p>
    <w:p w:rsidR="0017073A" w:rsidRDefault="0017073A" w:rsidP="0017073A">
      <w:pPr>
        <w:pStyle w:val="ListParagraph"/>
        <w:numPr>
          <w:ilvl w:val="0"/>
          <w:numId w:val="3"/>
        </w:numPr>
        <w:rPr>
          <w:sz w:val="18"/>
          <w:lang w:val="en-GB"/>
        </w:rPr>
      </w:pPr>
      <w:r>
        <w:rPr>
          <w:sz w:val="18"/>
          <w:lang w:val="en-GB"/>
        </w:rPr>
        <w:t>Story telling skills</w:t>
      </w:r>
    </w:p>
    <w:p w:rsidR="0017073A" w:rsidRDefault="0017073A" w:rsidP="0017073A">
      <w:pPr>
        <w:pStyle w:val="ListParagraph"/>
        <w:numPr>
          <w:ilvl w:val="0"/>
          <w:numId w:val="3"/>
        </w:numPr>
        <w:rPr>
          <w:sz w:val="18"/>
          <w:lang w:val="en-GB"/>
        </w:rPr>
      </w:pPr>
      <w:r>
        <w:rPr>
          <w:sz w:val="18"/>
          <w:lang w:val="en-GB"/>
        </w:rPr>
        <w:t>Inquiry based learning development</w:t>
      </w:r>
    </w:p>
    <w:p w:rsidR="0017073A" w:rsidRPr="0017073A" w:rsidRDefault="0017073A" w:rsidP="0017073A">
      <w:pPr>
        <w:rPr>
          <w:sz w:val="18"/>
          <w:lang w:val="en-GB"/>
        </w:rPr>
      </w:pPr>
      <w:r>
        <w:rPr>
          <w:sz w:val="18"/>
          <w:lang w:val="en-GB"/>
        </w:rPr>
        <w:t>After the end of the training you will not only be capable of creating your own shows but you will</w:t>
      </w:r>
      <w:r w:rsidR="00E20AB4">
        <w:rPr>
          <w:sz w:val="18"/>
          <w:lang w:val="en-GB"/>
        </w:rPr>
        <w:t xml:space="preserve"> also</w:t>
      </w:r>
      <w:r>
        <w:rPr>
          <w:sz w:val="18"/>
          <w:lang w:val="en-GB"/>
        </w:rPr>
        <w:t xml:space="preserve"> </w:t>
      </w:r>
      <w:r w:rsidR="00E20AB4">
        <w:rPr>
          <w:sz w:val="18"/>
          <w:lang w:val="en-GB"/>
        </w:rPr>
        <w:t>be able to disseminate and share acquired skills with your colleagues.</w:t>
      </w:r>
    </w:p>
    <w:p w:rsidR="0017073A" w:rsidRPr="0017073A" w:rsidRDefault="0017073A" w:rsidP="0017073A">
      <w:pPr>
        <w:pStyle w:val="ListParagraph"/>
        <w:rPr>
          <w:sz w:val="18"/>
          <w:lang w:val="en-GB"/>
        </w:rPr>
      </w:pPr>
    </w:p>
    <w:p w:rsidR="00AE1A08" w:rsidRPr="00C71EFF" w:rsidRDefault="00AE1A08" w:rsidP="00AE1A08">
      <w:pPr>
        <w:spacing w:after="0"/>
        <w:rPr>
          <w:b/>
          <w:lang w:val="en-GB"/>
        </w:rPr>
      </w:pPr>
      <w:r w:rsidRPr="00C71EFF">
        <w:rPr>
          <w:b/>
          <w:lang w:val="en-GB"/>
        </w:rPr>
        <w:t>How to calculate the costs:</w:t>
      </w:r>
    </w:p>
    <w:p w:rsidR="00AE1A08" w:rsidRDefault="00AE1A08" w:rsidP="00AE1A08">
      <w:pPr>
        <w:spacing w:after="0"/>
        <w:rPr>
          <w:lang w:val="en-GB"/>
        </w:rPr>
      </w:pPr>
    </w:p>
    <w:p w:rsidR="00AE1A08" w:rsidRDefault="00AE1A08" w:rsidP="00AE1A08">
      <w:pPr>
        <w:spacing w:after="0"/>
        <w:rPr>
          <w:sz w:val="18"/>
          <w:szCs w:val="18"/>
          <w:lang w:val="en-GB"/>
        </w:rPr>
      </w:pPr>
      <w:r>
        <w:rPr>
          <w:sz w:val="18"/>
          <w:szCs w:val="18"/>
          <w:lang w:val="en-GB"/>
        </w:rPr>
        <w:t>The budget of the mobility project must be drafted according to the following funding rules (in euro):</w:t>
      </w:r>
    </w:p>
    <w:p w:rsidR="00AE1A08" w:rsidRDefault="00AE1A08" w:rsidP="00AE1A08">
      <w:pPr>
        <w:spacing w:after="0"/>
        <w:rPr>
          <w:sz w:val="18"/>
          <w:szCs w:val="18"/>
          <w:lang w:val="en-GB"/>
        </w:rPr>
      </w:pPr>
    </w:p>
    <w:tbl>
      <w:tblPr>
        <w:tblStyle w:val="TableGrid"/>
        <w:tblW w:w="9322" w:type="dxa"/>
        <w:tblInd w:w="0" w:type="dxa"/>
        <w:tblLook w:val="04A0" w:firstRow="1" w:lastRow="0" w:firstColumn="1" w:lastColumn="0" w:noHBand="0" w:noVBand="1"/>
      </w:tblPr>
      <w:tblGrid>
        <w:gridCol w:w="1101"/>
        <w:gridCol w:w="2126"/>
        <w:gridCol w:w="1701"/>
        <w:gridCol w:w="1276"/>
        <w:gridCol w:w="1169"/>
        <w:gridCol w:w="1949"/>
      </w:tblGrid>
      <w:tr w:rsidR="00AE1A08" w:rsidTr="00AE1A08">
        <w:tc>
          <w:tcPr>
            <w:tcW w:w="3227" w:type="dxa"/>
            <w:gridSpan w:val="2"/>
            <w:tcBorders>
              <w:top w:val="single" w:sz="4" w:space="0" w:color="auto"/>
              <w:left w:val="single" w:sz="4" w:space="0" w:color="auto"/>
              <w:bottom w:val="single" w:sz="4" w:space="0" w:color="auto"/>
              <w:right w:val="single" w:sz="4" w:space="0" w:color="auto"/>
            </w:tcBorders>
            <w:hideMark/>
          </w:tcPr>
          <w:p w:rsidR="00AE1A08" w:rsidRDefault="00AE1A08">
            <w:pPr>
              <w:spacing w:after="0" w:line="240" w:lineRule="auto"/>
              <w:rPr>
                <w:b/>
                <w:sz w:val="16"/>
                <w:szCs w:val="16"/>
                <w:lang w:val="en-GB"/>
              </w:rPr>
            </w:pPr>
            <w:r>
              <w:rPr>
                <w:b/>
                <w:sz w:val="16"/>
                <w:szCs w:val="16"/>
                <w:lang w:val="en-GB"/>
              </w:rPr>
              <w:t>Eligible cost</w:t>
            </w:r>
          </w:p>
        </w:tc>
        <w:tc>
          <w:tcPr>
            <w:tcW w:w="1701" w:type="dxa"/>
            <w:tcBorders>
              <w:top w:val="single" w:sz="4" w:space="0" w:color="auto"/>
              <w:left w:val="single" w:sz="4" w:space="0" w:color="auto"/>
              <w:bottom w:val="single" w:sz="4" w:space="0" w:color="auto"/>
              <w:right w:val="single" w:sz="4" w:space="0" w:color="auto"/>
            </w:tcBorders>
            <w:hideMark/>
          </w:tcPr>
          <w:p w:rsidR="00AE1A08" w:rsidRDefault="00AE1A08">
            <w:pPr>
              <w:spacing w:after="0" w:line="240" w:lineRule="auto"/>
              <w:rPr>
                <w:b/>
                <w:sz w:val="16"/>
                <w:szCs w:val="16"/>
                <w:lang w:val="en-GB"/>
              </w:rPr>
            </w:pPr>
            <w:r>
              <w:rPr>
                <w:b/>
                <w:sz w:val="16"/>
                <w:szCs w:val="16"/>
                <w:lang w:val="en-GB"/>
              </w:rPr>
              <w:t>Financing mechanism</w:t>
            </w:r>
          </w:p>
        </w:tc>
        <w:tc>
          <w:tcPr>
            <w:tcW w:w="2445" w:type="dxa"/>
            <w:gridSpan w:val="2"/>
            <w:tcBorders>
              <w:top w:val="single" w:sz="4" w:space="0" w:color="auto"/>
              <w:left w:val="single" w:sz="4" w:space="0" w:color="auto"/>
              <w:bottom w:val="single" w:sz="4" w:space="0" w:color="auto"/>
              <w:right w:val="single" w:sz="4" w:space="0" w:color="auto"/>
            </w:tcBorders>
            <w:hideMark/>
          </w:tcPr>
          <w:p w:rsidR="00AE1A08" w:rsidRDefault="00AE1A08">
            <w:pPr>
              <w:jc w:val="center"/>
              <w:rPr>
                <w:b/>
                <w:sz w:val="16"/>
                <w:szCs w:val="16"/>
                <w:lang w:val="en-GB"/>
              </w:rPr>
            </w:pPr>
            <w:r>
              <w:rPr>
                <w:b/>
                <w:sz w:val="16"/>
                <w:szCs w:val="16"/>
                <w:lang w:val="en-GB"/>
              </w:rPr>
              <w:t>Amount</w:t>
            </w:r>
          </w:p>
        </w:tc>
        <w:tc>
          <w:tcPr>
            <w:tcW w:w="1949" w:type="dxa"/>
            <w:tcBorders>
              <w:top w:val="single" w:sz="4" w:space="0" w:color="auto"/>
              <w:left w:val="single" w:sz="4" w:space="0" w:color="auto"/>
              <w:bottom w:val="single" w:sz="4" w:space="0" w:color="auto"/>
              <w:right w:val="single" w:sz="4" w:space="0" w:color="auto"/>
            </w:tcBorders>
            <w:hideMark/>
          </w:tcPr>
          <w:p w:rsidR="00AE1A08" w:rsidRDefault="00AE1A08">
            <w:pPr>
              <w:rPr>
                <w:b/>
                <w:sz w:val="16"/>
                <w:szCs w:val="16"/>
                <w:lang w:val="en-GB"/>
              </w:rPr>
            </w:pPr>
            <w:r>
              <w:rPr>
                <w:b/>
                <w:sz w:val="16"/>
                <w:szCs w:val="16"/>
                <w:lang w:val="en-GB"/>
              </w:rPr>
              <w:t>Rule of allocation</w:t>
            </w:r>
          </w:p>
        </w:tc>
      </w:tr>
      <w:tr w:rsidR="00AE1A08" w:rsidTr="00AE1A08">
        <w:trPr>
          <w:trHeight w:val="268"/>
        </w:trPr>
        <w:tc>
          <w:tcPr>
            <w:tcW w:w="1101" w:type="dxa"/>
            <w:vMerge w:val="restart"/>
            <w:tcBorders>
              <w:top w:val="single" w:sz="4" w:space="0" w:color="auto"/>
              <w:left w:val="single" w:sz="4" w:space="0" w:color="auto"/>
              <w:bottom w:val="single" w:sz="4" w:space="0" w:color="auto"/>
              <w:right w:val="single" w:sz="4" w:space="0" w:color="auto"/>
            </w:tcBorders>
            <w:hideMark/>
          </w:tcPr>
          <w:p w:rsidR="00AE1A08" w:rsidRDefault="00AE1A08">
            <w:pPr>
              <w:spacing w:after="0" w:line="240" w:lineRule="auto"/>
              <w:rPr>
                <w:b/>
                <w:sz w:val="16"/>
                <w:szCs w:val="16"/>
                <w:lang w:val="en-GB"/>
              </w:rPr>
            </w:pPr>
            <w:r>
              <w:rPr>
                <w:b/>
                <w:sz w:val="16"/>
                <w:szCs w:val="16"/>
                <w:lang w:val="en-GB"/>
              </w:rPr>
              <w:t>Travel</w:t>
            </w:r>
          </w:p>
        </w:tc>
        <w:tc>
          <w:tcPr>
            <w:tcW w:w="2126" w:type="dxa"/>
            <w:vMerge w:val="restart"/>
            <w:tcBorders>
              <w:top w:val="single" w:sz="4" w:space="0" w:color="auto"/>
              <w:left w:val="single" w:sz="4" w:space="0" w:color="auto"/>
              <w:bottom w:val="single" w:sz="4" w:space="0" w:color="auto"/>
              <w:right w:val="single" w:sz="4" w:space="0" w:color="auto"/>
            </w:tcBorders>
          </w:tcPr>
          <w:p w:rsidR="00AE1A08" w:rsidRDefault="00AE1A08">
            <w:pPr>
              <w:pStyle w:val="Default"/>
              <w:rPr>
                <w:sz w:val="16"/>
                <w:szCs w:val="16"/>
                <w:lang w:val="en-GB"/>
              </w:rPr>
            </w:pPr>
            <w:r>
              <w:rPr>
                <w:sz w:val="16"/>
                <w:szCs w:val="16"/>
                <w:lang w:val="en-GB"/>
              </w:rPr>
              <w:t>Contribution to the travel costs of participants, including accompanying persons, from their place of origin.</w:t>
            </w:r>
          </w:p>
          <w:p w:rsidR="00AE1A08" w:rsidRDefault="00AE1A08">
            <w:pPr>
              <w:rPr>
                <w:b/>
                <w:sz w:val="16"/>
                <w:szCs w:val="16"/>
                <w:lang w:val="en-GB"/>
              </w:rPr>
            </w:pPr>
          </w:p>
        </w:tc>
        <w:tc>
          <w:tcPr>
            <w:tcW w:w="1701" w:type="dxa"/>
            <w:vMerge w:val="restart"/>
            <w:tcBorders>
              <w:top w:val="single" w:sz="4" w:space="0" w:color="auto"/>
              <w:left w:val="single" w:sz="4" w:space="0" w:color="auto"/>
              <w:bottom w:val="single" w:sz="4" w:space="0" w:color="auto"/>
              <w:right w:val="single" w:sz="4" w:space="0" w:color="auto"/>
            </w:tcBorders>
          </w:tcPr>
          <w:p w:rsidR="00AE1A08" w:rsidRDefault="00AE1A08">
            <w:pPr>
              <w:pStyle w:val="Default"/>
              <w:rPr>
                <w:sz w:val="16"/>
                <w:szCs w:val="16"/>
                <w:lang w:val="en-GB"/>
              </w:rPr>
            </w:pPr>
            <w:r>
              <w:rPr>
                <w:sz w:val="16"/>
                <w:szCs w:val="16"/>
                <w:lang w:val="en-GB"/>
              </w:rPr>
              <w:t>Unit costs</w:t>
            </w:r>
          </w:p>
          <w:p w:rsidR="00AE1A08" w:rsidRDefault="00AE1A08">
            <w:pPr>
              <w:rPr>
                <w:b/>
                <w:sz w:val="16"/>
                <w:szCs w:val="16"/>
                <w:lang w:val="en-G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E1A08" w:rsidRDefault="00AE1A08">
            <w:pPr>
              <w:jc w:val="center"/>
              <w:rPr>
                <w:sz w:val="16"/>
                <w:szCs w:val="16"/>
                <w:lang w:val="en-GB"/>
              </w:rPr>
            </w:pPr>
            <w:r>
              <w:rPr>
                <w:sz w:val="16"/>
                <w:szCs w:val="16"/>
                <w:lang w:val="en-GB"/>
              </w:rPr>
              <w:t>Travel distance</w:t>
            </w:r>
          </w:p>
        </w:tc>
        <w:tc>
          <w:tcPr>
            <w:tcW w:w="1169" w:type="dxa"/>
            <w:tcBorders>
              <w:top w:val="single" w:sz="4" w:space="0" w:color="auto"/>
              <w:left w:val="single" w:sz="4" w:space="0" w:color="auto"/>
              <w:bottom w:val="single" w:sz="4" w:space="0" w:color="auto"/>
              <w:right w:val="single" w:sz="4" w:space="0" w:color="auto"/>
            </w:tcBorders>
            <w:vAlign w:val="center"/>
            <w:hideMark/>
          </w:tcPr>
          <w:p w:rsidR="00AE1A08" w:rsidRDefault="00AE1A08">
            <w:pPr>
              <w:jc w:val="center"/>
              <w:rPr>
                <w:sz w:val="16"/>
                <w:szCs w:val="16"/>
                <w:lang w:val="en-GB"/>
              </w:rPr>
            </w:pPr>
            <w:r>
              <w:rPr>
                <w:sz w:val="16"/>
                <w:szCs w:val="16"/>
                <w:lang w:val="en-GB"/>
              </w:rPr>
              <w:t>Amount</w:t>
            </w:r>
          </w:p>
        </w:tc>
        <w:tc>
          <w:tcPr>
            <w:tcW w:w="1949" w:type="dxa"/>
            <w:vMerge w:val="restart"/>
            <w:tcBorders>
              <w:top w:val="single" w:sz="4" w:space="0" w:color="auto"/>
              <w:left w:val="single" w:sz="4" w:space="0" w:color="auto"/>
              <w:bottom w:val="single" w:sz="4" w:space="0" w:color="auto"/>
              <w:right w:val="single" w:sz="4" w:space="0" w:color="auto"/>
            </w:tcBorders>
          </w:tcPr>
          <w:p w:rsidR="00AE1A08" w:rsidRDefault="00AE1A08">
            <w:pPr>
              <w:pStyle w:val="Default"/>
              <w:rPr>
                <w:sz w:val="16"/>
                <w:szCs w:val="16"/>
                <w:lang w:val="en-GB"/>
              </w:rPr>
            </w:pPr>
            <w:r>
              <w:rPr>
                <w:sz w:val="16"/>
                <w:szCs w:val="16"/>
                <w:lang w:val="en-GB"/>
              </w:rPr>
              <w:t xml:space="preserve">Based on the travel distance per participant. Travel distances must be calculated using the distance calculator supported by the European Commission The applicant must indicate the distance of a one-way travel to calculate the amount of the EU grant that will support the round trip. </w:t>
            </w:r>
          </w:p>
          <w:p w:rsidR="00AE1A08" w:rsidRDefault="00AE1A08">
            <w:pPr>
              <w:rPr>
                <w:b/>
                <w:sz w:val="16"/>
                <w:szCs w:val="16"/>
                <w:lang w:val="en-GB"/>
              </w:rPr>
            </w:pPr>
          </w:p>
        </w:tc>
      </w:tr>
      <w:tr w:rsidR="00AE1A08" w:rsidTr="00AE1A08">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1276" w:type="dxa"/>
            <w:tcBorders>
              <w:top w:val="single" w:sz="4" w:space="0" w:color="auto"/>
              <w:left w:val="single" w:sz="4" w:space="0" w:color="auto"/>
              <w:bottom w:val="single" w:sz="4" w:space="0" w:color="auto"/>
              <w:right w:val="single" w:sz="4" w:space="0" w:color="auto"/>
            </w:tcBorders>
            <w:hideMark/>
          </w:tcPr>
          <w:p w:rsidR="00AE1A08" w:rsidRDefault="00AE1A08">
            <w:pPr>
              <w:jc w:val="center"/>
              <w:rPr>
                <w:sz w:val="16"/>
                <w:szCs w:val="16"/>
                <w:lang w:val="en-GB"/>
              </w:rPr>
            </w:pPr>
            <w:r>
              <w:rPr>
                <w:sz w:val="16"/>
                <w:szCs w:val="16"/>
                <w:lang w:val="en-GB"/>
              </w:rPr>
              <w:t>100-499 km</w:t>
            </w:r>
          </w:p>
        </w:tc>
        <w:tc>
          <w:tcPr>
            <w:tcW w:w="1169" w:type="dxa"/>
            <w:tcBorders>
              <w:top w:val="single" w:sz="4" w:space="0" w:color="auto"/>
              <w:left w:val="single" w:sz="4" w:space="0" w:color="auto"/>
              <w:bottom w:val="single" w:sz="4" w:space="0" w:color="auto"/>
              <w:right w:val="single" w:sz="4" w:space="0" w:color="auto"/>
            </w:tcBorders>
            <w:hideMark/>
          </w:tcPr>
          <w:p w:rsidR="00AE1A08" w:rsidRDefault="00AE1A08">
            <w:pPr>
              <w:jc w:val="center"/>
              <w:rPr>
                <w:sz w:val="16"/>
                <w:szCs w:val="16"/>
                <w:lang w:val="en-GB"/>
              </w:rPr>
            </w:pPr>
            <w:r>
              <w:rPr>
                <w:sz w:val="16"/>
                <w:szCs w:val="16"/>
                <w:lang w:val="en-GB"/>
              </w:rPr>
              <w:t>180 EUR per participant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r>
      <w:tr w:rsidR="00AE1A08" w:rsidTr="00AE1A08">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1276" w:type="dxa"/>
            <w:tcBorders>
              <w:top w:val="single" w:sz="4" w:space="0" w:color="auto"/>
              <w:left w:val="single" w:sz="4" w:space="0" w:color="auto"/>
              <w:bottom w:val="single" w:sz="4" w:space="0" w:color="auto"/>
              <w:right w:val="single" w:sz="4" w:space="0" w:color="auto"/>
            </w:tcBorders>
            <w:hideMark/>
          </w:tcPr>
          <w:p w:rsidR="00AE1A08" w:rsidRDefault="00AE1A08">
            <w:pPr>
              <w:jc w:val="center"/>
              <w:rPr>
                <w:sz w:val="16"/>
                <w:szCs w:val="16"/>
                <w:lang w:val="en-GB"/>
              </w:rPr>
            </w:pPr>
            <w:r>
              <w:rPr>
                <w:sz w:val="16"/>
                <w:szCs w:val="16"/>
                <w:lang w:val="en-GB"/>
              </w:rPr>
              <w:t>500-1999 km</w:t>
            </w:r>
          </w:p>
        </w:tc>
        <w:tc>
          <w:tcPr>
            <w:tcW w:w="1169" w:type="dxa"/>
            <w:tcBorders>
              <w:top w:val="single" w:sz="4" w:space="0" w:color="auto"/>
              <w:left w:val="single" w:sz="4" w:space="0" w:color="auto"/>
              <w:bottom w:val="single" w:sz="4" w:space="0" w:color="auto"/>
              <w:right w:val="single" w:sz="4" w:space="0" w:color="auto"/>
            </w:tcBorders>
            <w:hideMark/>
          </w:tcPr>
          <w:p w:rsidR="00AE1A08" w:rsidRDefault="00AE1A08">
            <w:pPr>
              <w:jc w:val="center"/>
              <w:rPr>
                <w:sz w:val="16"/>
                <w:szCs w:val="16"/>
                <w:lang w:val="en-GB"/>
              </w:rPr>
            </w:pPr>
            <w:r>
              <w:rPr>
                <w:sz w:val="16"/>
                <w:szCs w:val="16"/>
                <w:lang w:val="en-GB"/>
              </w:rPr>
              <w:t>275 EUR per participant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r>
      <w:tr w:rsidR="00AE1A08" w:rsidTr="00AE1A08">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1276" w:type="dxa"/>
            <w:tcBorders>
              <w:top w:val="single" w:sz="4" w:space="0" w:color="auto"/>
              <w:left w:val="single" w:sz="4" w:space="0" w:color="auto"/>
              <w:bottom w:val="single" w:sz="4" w:space="0" w:color="auto"/>
              <w:right w:val="single" w:sz="4" w:space="0" w:color="auto"/>
            </w:tcBorders>
            <w:hideMark/>
          </w:tcPr>
          <w:p w:rsidR="00AE1A08" w:rsidRDefault="00AE1A08">
            <w:pPr>
              <w:jc w:val="center"/>
              <w:rPr>
                <w:sz w:val="16"/>
                <w:szCs w:val="16"/>
                <w:lang w:val="en-GB"/>
              </w:rPr>
            </w:pPr>
            <w:r>
              <w:rPr>
                <w:sz w:val="16"/>
                <w:szCs w:val="16"/>
                <w:lang w:val="en-GB"/>
              </w:rPr>
              <w:t>2000-2999 km</w:t>
            </w:r>
          </w:p>
        </w:tc>
        <w:tc>
          <w:tcPr>
            <w:tcW w:w="1169" w:type="dxa"/>
            <w:tcBorders>
              <w:top w:val="single" w:sz="4" w:space="0" w:color="auto"/>
              <w:left w:val="single" w:sz="4" w:space="0" w:color="auto"/>
              <w:bottom w:val="single" w:sz="4" w:space="0" w:color="auto"/>
              <w:right w:val="single" w:sz="4" w:space="0" w:color="auto"/>
            </w:tcBorders>
            <w:hideMark/>
          </w:tcPr>
          <w:p w:rsidR="00AE1A08" w:rsidRDefault="00AE1A08">
            <w:pPr>
              <w:jc w:val="center"/>
              <w:rPr>
                <w:sz w:val="16"/>
                <w:szCs w:val="16"/>
                <w:lang w:val="en-GB"/>
              </w:rPr>
            </w:pPr>
            <w:r>
              <w:rPr>
                <w:sz w:val="16"/>
                <w:szCs w:val="16"/>
                <w:lang w:val="en-GB"/>
              </w:rPr>
              <w:t>360 EUR per participant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r>
      <w:tr w:rsidR="00AE1A08" w:rsidTr="00AE1A08">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1276" w:type="dxa"/>
            <w:tcBorders>
              <w:top w:val="single" w:sz="4" w:space="0" w:color="auto"/>
              <w:left w:val="single" w:sz="4" w:space="0" w:color="auto"/>
              <w:bottom w:val="single" w:sz="4" w:space="0" w:color="auto"/>
              <w:right w:val="single" w:sz="4" w:space="0" w:color="auto"/>
            </w:tcBorders>
            <w:hideMark/>
          </w:tcPr>
          <w:p w:rsidR="00AE1A08" w:rsidRDefault="00AE1A08">
            <w:pPr>
              <w:jc w:val="center"/>
              <w:rPr>
                <w:sz w:val="16"/>
                <w:szCs w:val="16"/>
                <w:lang w:val="en-GB"/>
              </w:rPr>
            </w:pPr>
            <w:r>
              <w:rPr>
                <w:sz w:val="16"/>
                <w:szCs w:val="16"/>
                <w:lang w:val="en-GB"/>
              </w:rPr>
              <w:t>3000-3999 km</w:t>
            </w:r>
          </w:p>
        </w:tc>
        <w:tc>
          <w:tcPr>
            <w:tcW w:w="1169" w:type="dxa"/>
            <w:tcBorders>
              <w:top w:val="single" w:sz="4" w:space="0" w:color="auto"/>
              <w:left w:val="single" w:sz="4" w:space="0" w:color="auto"/>
              <w:bottom w:val="single" w:sz="4" w:space="0" w:color="auto"/>
              <w:right w:val="single" w:sz="4" w:space="0" w:color="auto"/>
            </w:tcBorders>
            <w:hideMark/>
          </w:tcPr>
          <w:p w:rsidR="00AE1A08" w:rsidRDefault="00AE1A08">
            <w:pPr>
              <w:jc w:val="center"/>
              <w:rPr>
                <w:sz w:val="16"/>
                <w:szCs w:val="16"/>
                <w:lang w:val="en-GB"/>
              </w:rPr>
            </w:pPr>
            <w:r>
              <w:rPr>
                <w:sz w:val="16"/>
                <w:szCs w:val="16"/>
                <w:lang w:val="en-GB"/>
              </w:rPr>
              <w:t>530 per participant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r>
      <w:tr w:rsidR="00AE1A08" w:rsidTr="00AE1A08">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1276" w:type="dxa"/>
            <w:tcBorders>
              <w:top w:val="single" w:sz="4" w:space="0" w:color="auto"/>
              <w:left w:val="single" w:sz="4" w:space="0" w:color="auto"/>
              <w:bottom w:val="single" w:sz="4" w:space="0" w:color="auto"/>
              <w:right w:val="single" w:sz="4" w:space="0" w:color="auto"/>
            </w:tcBorders>
            <w:hideMark/>
          </w:tcPr>
          <w:p w:rsidR="00AE1A08" w:rsidRDefault="00AE1A08">
            <w:pPr>
              <w:jc w:val="center"/>
              <w:rPr>
                <w:sz w:val="16"/>
                <w:szCs w:val="16"/>
                <w:lang w:val="en-GB"/>
              </w:rPr>
            </w:pPr>
            <w:r>
              <w:rPr>
                <w:sz w:val="16"/>
                <w:szCs w:val="16"/>
                <w:lang w:val="en-GB"/>
              </w:rPr>
              <w:t>4000-7999 km</w:t>
            </w:r>
          </w:p>
        </w:tc>
        <w:tc>
          <w:tcPr>
            <w:tcW w:w="1169" w:type="dxa"/>
            <w:tcBorders>
              <w:top w:val="single" w:sz="4" w:space="0" w:color="auto"/>
              <w:left w:val="single" w:sz="4" w:space="0" w:color="auto"/>
              <w:bottom w:val="single" w:sz="4" w:space="0" w:color="auto"/>
              <w:right w:val="single" w:sz="4" w:space="0" w:color="auto"/>
            </w:tcBorders>
            <w:hideMark/>
          </w:tcPr>
          <w:p w:rsidR="00AE1A08" w:rsidRDefault="00AE1A08">
            <w:pPr>
              <w:jc w:val="center"/>
              <w:rPr>
                <w:sz w:val="16"/>
                <w:szCs w:val="16"/>
                <w:lang w:val="en-GB"/>
              </w:rPr>
            </w:pPr>
            <w:r>
              <w:rPr>
                <w:sz w:val="16"/>
                <w:szCs w:val="16"/>
                <w:lang w:val="en-GB"/>
              </w:rPr>
              <w:t>820 EUR per participant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r>
      <w:tr w:rsidR="00AE1A08" w:rsidTr="00AE1A08">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c>
          <w:tcPr>
            <w:tcW w:w="1276" w:type="dxa"/>
            <w:tcBorders>
              <w:top w:val="single" w:sz="4" w:space="0" w:color="auto"/>
              <w:left w:val="single" w:sz="4" w:space="0" w:color="auto"/>
              <w:bottom w:val="single" w:sz="4" w:space="0" w:color="auto"/>
              <w:right w:val="single" w:sz="4" w:space="0" w:color="auto"/>
            </w:tcBorders>
            <w:hideMark/>
          </w:tcPr>
          <w:p w:rsidR="00AE1A08" w:rsidRDefault="00AE1A08">
            <w:pPr>
              <w:jc w:val="center"/>
              <w:rPr>
                <w:sz w:val="16"/>
                <w:szCs w:val="16"/>
                <w:lang w:val="en-GB"/>
              </w:rPr>
            </w:pPr>
            <w:r>
              <w:rPr>
                <w:sz w:val="16"/>
                <w:szCs w:val="16"/>
                <w:lang w:val="en-GB"/>
              </w:rPr>
              <w:t>8000 km or more</w:t>
            </w:r>
          </w:p>
        </w:tc>
        <w:tc>
          <w:tcPr>
            <w:tcW w:w="1169" w:type="dxa"/>
            <w:tcBorders>
              <w:top w:val="single" w:sz="4" w:space="0" w:color="auto"/>
              <w:left w:val="single" w:sz="4" w:space="0" w:color="auto"/>
              <w:bottom w:val="single" w:sz="4" w:space="0" w:color="auto"/>
              <w:right w:val="single" w:sz="4" w:space="0" w:color="auto"/>
            </w:tcBorders>
            <w:hideMark/>
          </w:tcPr>
          <w:p w:rsidR="00AE1A08" w:rsidRDefault="00AE1A08">
            <w:pPr>
              <w:jc w:val="center"/>
              <w:rPr>
                <w:sz w:val="16"/>
                <w:szCs w:val="16"/>
                <w:lang w:val="en-GB"/>
              </w:rPr>
            </w:pPr>
            <w:r>
              <w:rPr>
                <w:sz w:val="16"/>
                <w:szCs w:val="16"/>
                <w:lang w:val="en-GB"/>
              </w:rPr>
              <w:t>1100 EUR per participant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08" w:rsidRDefault="00AE1A08">
            <w:pPr>
              <w:spacing w:after="0" w:line="240" w:lineRule="auto"/>
              <w:rPr>
                <w:b/>
                <w:sz w:val="16"/>
                <w:szCs w:val="16"/>
                <w:lang w:val="en-GB"/>
              </w:rPr>
            </w:pPr>
          </w:p>
        </w:tc>
      </w:tr>
      <w:tr w:rsidR="00AE1A08" w:rsidTr="00AE1A08">
        <w:tc>
          <w:tcPr>
            <w:tcW w:w="1101" w:type="dxa"/>
            <w:tcBorders>
              <w:top w:val="single" w:sz="4" w:space="0" w:color="auto"/>
              <w:left w:val="single" w:sz="4" w:space="0" w:color="auto"/>
              <w:bottom w:val="single" w:sz="4" w:space="0" w:color="auto"/>
              <w:right w:val="single" w:sz="4" w:space="0" w:color="auto"/>
            </w:tcBorders>
            <w:hideMark/>
          </w:tcPr>
          <w:p w:rsidR="00AE1A08" w:rsidRDefault="00AE1A08">
            <w:pPr>
              <w:rPr>
                <w:b/>
                <w:sz w:val="16"/>
                <w:szCs w:val="16"/>
                <w:lang w:val="en-GB"/>
              </w:rPr>
            </w:pPr>
            <w:r>
              <w:rPr>
                <w:b/>
                <w:sz w:val="16"/>
                <w:szCs w:val="16"/>
                <w:lang w:val="en-GB"/>
              </w:rPr>
              <w:t>Individual support</w:t>
            </w:r>
          </w:p>
        </w:tc>
        <w:tc>
          <w:tcPr>
            <w:tcW w:w="2126" w:type="dxa"/>
            <w:tcBorders>
              <w:top w:val="single" w:sz="4" w:space="0" w:color="auto"/>
              <w:left w:val="single" w:sz="4" w:space="0" w:color="auto"/>
              <w:bottom w:val="single" w:sz="4" w:space="0" w:color="auto"/>
              <w:right w:val="single" w:sz="4" w:space="0" w:color="auto"/>
            </w:tcBorders>
          </w:tcPr>
          <w:p w:rsidR="00AE1A08" w:rsidRDefault="00AE1A08">
            <w:pPr>
              <w:pStyle w:val="Default"/>
              <w:rPr>
                <w:sz w:val="16"/>
                <w:szCs w:val="16"/>
                <w:lang w:val="en-GB"/>
              </w:rPr>
            </w:pPr>
            <w:r>
              <w:rPr>
                <w:sz w:val="16"/>
                <w:szCs w:val="16"/>
                <w:lang w:val="en-GB"/>
              </w:rPr>
              <w:t>Costs directly linked to the subsistence of participants, including accompanying persons, during the activity.</w:t>
            </w:r>
          </w:p>
          <w:p w:rsidR="00AE1A08" w:rsidRDefault="00AE1A08">
            <w:pPr>
              <w:rPr>
                <w:b/>
                <w:sz w:val="16"/>
                <w:szCs w:val="16"/>
                <w:lang w:val="en-GB"/>
              </w:rPr>
            </w:pPr>
          </w:p>
        </w:tc>
        <w:tc>
          <w:tcPr>
            <w:tcW w:w="1701" w:type="dxa"/>
            <w:tcBorders>
              <w:top w:val="single" w:sz="4" w:space="0" w:color="auto"/>
              <w:left w:val="single" w:sz="4" w:space="0" w:color="auto"/>
              <w:bottom w:val="single" w:sz="4" w:space="0" w:color="auto"/>
              <w:right w:val="single" w:sz="4" w:space="0" w:color="auto"/>
            </w:tcBorders>
            <w:hideMark/>
          </w:tcPr>
          <w:p w:rsidR="00AE1A08" w:rsidRDefault="00AE1A08">
            <w:pPr>
              <w:pStyle w:val="Default"/>
              <w:rPr>
                <w:sz w:val="16"/>
                <w:szCs w:val="16"/>
                <w:lang w:val="en-GB"/>
              </w:rPr>
            </w:pPr>
            <w:r>
              <w:rPr>
                <w:sz w:val="16"/>
                <w:szCs w:val="16"/>
                <w:lang w:val="en-GB"/>
              </w:rPr>
              <w:t>Unit costs</w:t>
            </w:r>
          </w:p>
        </w:tc>
        <w:tc>
          <w:tcPr>
            <w:tcW w:w="2445" w:type="dxa"/>
            <w:gridSpan w:val="2"/>
            <w:tcBorders>
              <w:top w:val="single" w:sz="4" w:space="0" w:color="auto"/>
              <w:left w:val="single" w:sz="4" w:space="0" w:color="auto"/>
              <w:bottom w:val="single" w:sz="4" w:space="0" w:color="auto"/>
              <w:right w:val="single" w:sz="4" w:space="0" w:color="auto"/>
            </w:tcBorders>
            <w:hideMark/>
          </w:tcPr>
          <w:p w:rsidR="00AE1A08" w:rsidRDefault="00AE1A08">
            <w:pPr>
              <w:pStyle w:val="Default"/>
              <w:rPr>
                <w:sz w:val="16"/>
                <w:szCs w:val="16"/>
                <w:lang w:val="en-GB"/>
              </w:rPr>
            </w:pPr>
            <w:r>
              <w:rPr>
                <w:sz w:val="16"/>
                <w:szCs w:val="16"/>
                <w:lang w:val="en-GB"/>
              </w:rPr>
              <w:t xml:space="preserve">up to the </w:t>
            </w:r>
            <w:proofErr w:type="spellStart"/>
            <w:r>
              <w:rPr>
                <w:sz w:val="16"/>
                <w:szCs w:val="16"/>
                <w:lang w:val="en-GB"/>
              </w:rPr>
              <w:t>14thday</w:t>
            </w:r>
            <w:proofErr w:type="spellEnd"/>
            <w:r>
              <w:rPr>
                <w:sz w:val="16"/>
                <w:szCs w:val="16"/>
                <w:lang w:val="en-GB"/>
              </w:rPr>
              <w:t xml:space="preserve"> of activity: </w:t>
            </w:r>
            <w:proofErr w:type="spellStart"/>
            <w:r>
              <w:rPr>
                <w:sz w:val="16"/>
                <w:szCs w:val="16"/>
                <w:lang w:val="en-GB"/>
              </w:rPr>
              <w:t>A3.1per</w:t>
            </w:r>
            <w:proofErr w:type="spellEnd"/>
            <w:r>
              <w:rPr>
                <w:sz w:val="16"/>
                <w:szCs w:val="16"/>
                <w:lang w:val="en-GB"/>
              </w:rPr>
              <w:t xml:space="preserve"> day per participant</w:t>
            </w:r>
          </w:p>
          <w:p w:rsidR="00AE1A08" w:rsidRDefault="00AE1A08">
            <w:pPr>
              <w:pStyle w:val="Default"/>
              <w:rPr>
                <w:sz w:val="16"/>
                <w:szCs w:val="16"/>
                <w:lang w:val="en-GB"/>
              </w:rPr>
            </w:pPr>
            <w:r>
              <w:rPr>
                <w:sz w:val="16"/>
                <w:szCs w:val="16"/>
                <w:lang w:val="en-GB"/>
              </w:rPr>
              <w:t>+</w:t>
            </w:r>
          </w:p>
          <w:p w:rsidR="00AE1A08" w:rsidRDefault="00AE1A08">
            <w:pPr>
              <w:rPr>
                <w:b/>
                <w:sz w:val="16"/>
                <w:szCs w:val="16"/>
                <w:lang w:val="en-GB"/>
              </w:rPr>
            </w:pPr>
            <w:r>
              <w:rPr>
                <w:rFonts w:ascii="Tahoma" w:hAnsi="Tahoma" w:cs="Tahoma"/>
                <w:color w:val="000000"/>
                <w:sz w:val="16"/>
                <w:szCs w:val="16"/>
                <w:lang w:val="en-GB"/>
              </w:rPr>
              <w:t xml:space="preserve">between the 15th and 60th day of activity: 70% of </w:t>
            </w:r>
            <w:proofErr w:type="spellStart"/>
            <w:r>
              <w:rPr>
                <w:rFonts w:ascii="Tahoma" w:hAnsi="Tahoma" w:cs="Tahoma"/>
                <w:color w:val="000000"/>
                <w:sz w:val="16"/>
                <w:szCs w:val="16"/>
                <w:lang w:val="en-GB"/>
              </w:rPr>
              <w:t>A4.1</w:t>
            </w:r>
            <w:proofErr w:type="spellEnd"/>
            <w:r>
              <w:rPr>
                <w:rFonts w:ascii="Tahoma" w:hAnsi="Tahoma" w:cs="Tahoma"/>
                <w:color w:val="000000"/>
                <w:sz w:val="16"/>
                <w:szCs w:val="16"/>
                <w:lang w:val="en-GB"/>
              </w:rPr>
              <w:t xml:space="preserve"> per day per participant.</w:t>
            </w:r>
          </w:p>
        </w:tc>
        <w:tc>
          <w:tcPr>
            <w:tcW w:w="1949" w:type="dxa"/>
            <w:tcBorders>
              <w:top w:val="single" w:sz="4" w:space="0" w:color="auto"/>
              <w:left w:val="single" w:sz="4" w:space="0" w:color="auto"/>
              <w:bottom w:val="single" w:sz="4" w:space="0" w:color="auto"/>
              <w:right w:val="single" w:sz="4" w:space="0" w:color="auto"/>
            </w:tcBorders>
            <w:hideMark/>
          </w:tcPr>
          <w:p w:rsidR="00AE1A08" w:rsidRDefault="00AE1A08">
            <w:pPr>
              <w:pStyle w:val="Default"/>
              <w:rPr>
                <w:sz w:val="16"/>
                <w:szCs w:val="16"/>
                <w:lang w:val="en-GB"/>
              </w:rPr>
            </w:pPr>
            <w:r>
              <w:rPr>
                <w:sz w:val="16"/>
                <w:szCs w:val="16"/>
                <w:lang w:val="en-GB"/>
              </w:rPr>
              <w:t>Based on the duration of the stay per participant(if necessary, including also one travel day before the activity and one travel day following the activity.</w:t>
            </w:r>
          </w:p>
        </w:tc>
      </w:tr>
      <w:tr w:rsidR="00AE1A08" w:rsidTr="00AE1A08">
        <w:tc>
          <w:tcPr>
            <w:tcW w:w="1101" w:type="dxa"/>
            <w:tcBorders>
              <w:top w:val="single" w:sz="4" w:space="0" w:color="auto"/>
              <w:left w:val="single" w:sz="4" w:space="0" w:color="auto"/>
              <w:bottom w:val="single" w:sz="4" w:space="0" w:color="auto"/>
              <w:right w:val="single" w:sz="4" w:space="0" w:color="auto"/>
            </w:tcBorders>
            <w:hideMark/>
          </w:tcPr>
          <w:p w:rsidR="00AE1A08" w:rsidRDefault="00AE1A08">
            <w:pPr>
              <w:rPr>
                <w:b/>
                <w:sz w:val="16"/>
                <w:szCs w:val="16"/>
                <w:lang w:val="en-GB"/>
              </w:rPr>
            </w:pPr>
            <w:r>
              <w:rPr>
                <w:b/>
                <w:sz w:val="16"/>
                <w:szCs w:val="16"/>
                <w:lang w:val="en-GB"/>
              </w:rPr>
              <w:t>Course fees</w:t>
            </w:r>
          </w:p>
        </w:tc>
        <w:tc>
          <w:tcPr>
            <w:tcW w:w="2126" w:type="dxa"/>
            <w:tcBorders>
              <w:top w:val="single" w:sz="4" w:space="0" w:color="auto"/>
              <w:left w:val="single" w:sz="4" w:space="0" w:color="auto"/>
              <w:bottom w:val="single" w:sz="4" w:space="0" w:color="auto"/>
              <w:right w:val="single" w:sz="4" w:space="0" w:color="auto"/>
            </w:tcBorders>
          </w:tcPr>
          <w:p w:rsidR="00AE1A08" w:rsidRDefault="00AE1A08">
            <w:pPr>
              <w:pStyle w:val="Default"/>
              <w:rPr>
                <w:sz w:val="18"/>
                <w:szCs w:val="18"/>
                <w:lang w:val="en-GB"/>
              </w:rPr>
            </w:pPr>
            <w:r>
              <w:rPr>
                <w:sz w:val="16"/>
                <w:szCs w:val="16"/>
                <w:lang w:val="en-GB"/>
              </w:rPr>
              <w:t xml:space="preserve">Costs directly linked to payment of fees for the enrolment in courses </w:t>
            </w:r>
          </w:p>
          <w:p w:rsidR="00AE1A08" w:rsidRDefault="00AE1A08">
            <w:pPr>
              <w:rPr>
                <w:b/>
                <w:sz w:val="16"/>
                <w:szCs w:val="16"/>
                <w:lang w:val="en-GB"/>
              </w:rPr>
            </w:pPr>
          </w:p>
        </w:tc>
        <w:tc>
          <w:tcPr>
            <w:tcW w:w="1701" w:type="dxa"/>
            <w:tcBorders>
              <w:top w:val="single" w:sz="4" w:space="0" w:color="auto"/>
              <w:left w:val="single" w:sz="4" w:space="0" w:color="auto"/>
              <w:bottom w:val="single" w:sz="4" w:space="0" w:color="auto"/>
              <w:right w:val="single" w:sz="4" w:space="0" w:color="auto"/>
            </w:tcBorders>
            <w:hideMark/>
          </w:tcPr>
          <w:p w:rsidR="00AE1A08" w:rsidRDefault="00AE1A08">
            <w:pPr>
              <w:pStyle w:val="Default"/>
              <w:rPr>
                <w:sz w:val="16"/>
                <w:szCs w:val="16"/>
                <w:lang w:val="en-GB"/>
              </w:rPr>
            </w:pPr>
            <w:r>
              <w:rPr>
                <w:sz w:val="16"/>
                <w:szCs w:val="16"/>
                <w:lang w:val="en-GB"/>
              </w:rPr>
              <w:t>Unit costs</w:t>
            </w:r>
          </w:p>
        </w:tc>
        <w:tc>
          <w:tcPr>
            <w:tcW w:w="2445" w:type="dxa"/>
            <w:gridSpan w:val="2"/>
            <w:tcBorders>
              <w:top w:val="single" w:sz="4" w:space="0" w:color="auto"/>
              <w:left w:val="single" w:sz="4" w:space="0" w:color="auto"/>
              <w:bottom w:val="single" w:sz="4" w:space="0" w:color="auto"/>
              <w:right w:val="single" w:sz="4" w:space="0" w:color="auto"/>
            </w:tcBorders>
            <w:hideMark/>
          </w:tcPr>
          <w:p w:rsidR="00AE1A08" w:rsidRDefault="00AE1A08">
            <w:pPr>
              <w:pStyle w:val="Default"/>
              <w:rPr>
                <w:sz w:val="16"/>
                <w:szCs w:val="16"/>
                <w:lang w:val="en-GB"/>
              </w:rPr>
            </w:pPr>
            <w:r>
              <w:rPr>
                <w:sz w:val="16"/>
                <w:szCs w:val="16"/>
                <w:lang w:val="en-GB"/>
              </w:rPr>
              <w:t xml:space="preserve">70 EUR per participant per day </w:t>
            </w:r>
          </w:p>
          <w:p w:rsidR="00AE1A08" w:rsidRDefault="00AE1A08">
            <w:pPr>
              <w:rPr>
                <w:b/>
                <w:sz w:val="16"/>
                <w:szCs w:val="16"/>
                <w:lang w:val="en-GB"/>
              </w:rPr>
            </w:pPr>
            <w:r>
              <w:rPr>
                <w:rFonts w:ascii="Tahoma" w:hAnsi="Tahoma" w:cs="Tahoma"/>
                <w:color w:val="000000"/>
                <w:sz w:val="16"/>
                <w:szCs w:val="16"/>
                <w:lang w:val="en-GB"/>
              </w:rPr>
              <w:t>Maximum of 700 EUR per participant in the mobility project</w:t>
            </w:r>
          </w:p>
        </w:tc>
        <w:tc>
          <w:tcPr>
            <w:tcW w:w="1949" w:type="dxa"/>
            <w:tcBorders>
              <w:top w:val="single" w:sz="4" w:space="0" w:color="auto"/>
              <w:left w:val="single" w:sz="4" w:space="0" w:color="auto"/>
              <w:bottom w:val="single" w:sz="4" w:space="0" w:color="auto"/>
              <w:right w:val="single" w:sz="4" w:space="0" w:color="auto"/>
            </w:tcBorders>
          </w:tcPr>
          <w:p w:rsidR="00AE1A08" w:rsidRDefault="00AE1A08">
            <w:pPr>
              <w:pStyle w:val="Default"/>
              <w:rPr>
                <w:sz w:val="16"/>
                <w:szCs w:val="16"/>
                <w:lang w:val="en-GB"/>
              </w:rPr>
            </w:pPr>
            <w:r>
              <w:rPr>
                <w:sz w:val="16"/>
                <w:szCs w:val="16"/>
                <w:lang w:val="en-GB"/>
              </w:rPr>
              <w:t>Conditional: the request for financial support to cover special needs support and exceptional costs must be motivated in the application form.</w:t>
            </w:r>
          </w:p>
          <w:p w:rsidR="00AE1A08" w:rsidRDefault="00AE1A08">
            <w:pPr>
              <w:rPr>
                <w:b/>
                <w:sz w:val="16"/>
                <w:szCs w:val="16"/>
                <w:lang w:val="en-GB"/>
              </w:rPr>
            </w:pPr>
          </w:p>
        </w:tc>
      </w:tr>
    </w:tbl>
    <w:p w:rsidR="00AE1A08" w:rsidRDefault="00AE1A08" w:rsidP="00AE1A08">
      <w:pPr>
        <w:spacing w:after="0"/>
        <w:rPr>
          <w:b/>
          <w:sz w:val="16"/>
          <w:szCs w:val="16"/>
          <w:lang w:val="en-GB"/>
        </w:rPr>
      </w:pPr>
    </w:p>
    <w:p w:rsidR="002017CD" w:rsidRDefault="002017CD"/>
    <w:sectPr w:rsidR="00201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E70A9"/>
    <w:multiLevelType w:val="hybridMultilevel"/>
    <w:tmpl w:val="5486EB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4C372E3B"/>
    <w:multiLevelType w:val="hybridMultilevel"/>
    <w:tmpl w:val="7E7A8E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73EA1746"/>
    <w:multiLevelType w:val="hybridMultilevel"/>
    <w:tmpl w:val="398872FA"/>
    <w:lvl w:ilvl="0" w:tplc="06008F84">
      <w:numFmt w:val="bullet"/>
      <w:lvlText w:val="-"/>
      <w:lvlJc w:val="left"/>
      <w:pPr>
        <w:ind w:left="720" w:hanging="360"/>
      </w:pPr>
      <w:rPr>
        <w:rFonts w:ascii="Calibri" w:eastAsiaTheme="minorEastAsia"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08"/>
    <w:rsid w:val="0017073A"/>
    <w:rsid w:val="002017CD"/>
    <w:rsid w:val="00AE1A08"/>
    <w:rsid w:val="00C71EFF"/>
    <w:rsid w:val="00E20A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A897A-6BA3-46A5-8EFE-FB58D8A0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A08"/>
    <w:pPr>
      <w:spacing w:after="200" w:line="276" w:lineRule="auto"/>
    </w:pPr>
    <w:rPr>
      <w:rFonts w:eastAsiaTheme="minorEastAsia"/>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A08"/>
    <w:rPr>
      <w:color w:val="0563C1" w:themeColor="hyperlink"/>
      <w:u w:val="single"/>
    </w:rPr>
  </w:style>
  <w:style w:type="paragraph" w:styleId="ListParagraph">
    <w:name w:val="List Paragraph"/>
    <w:basedOn w:val="Normal"/>
    <w:uiPriority w:val="34"/>
    <w:qFormat/>
    <w:rsid w:val="00AE1A08"/>
    <w:pPr>
      <w:ind w:left="720"/>
      <w:contextualSpacing/>
    </w:pPr>
  </w:style>
  <w:style w:type="paragraph" w:customStyle="1" w:styleId="Default">
    <w:name w:val="Default"/>
    <w:rsid w:val="00AE1A08"/>
    <w:pPr>
      <w:autoSpaceDE w:val="0"/>
      <w:autoSpaceDN w:val="0"/>
      <w:adjustRightInd w:val="0"/>
      <w:spacing w:after="0" w:line="240" w:lineRule="auto"/>
    </w:pPr>
    <w:rPr>
      <w:rFonts w:ascii="Tahoma" w:eastAsiaTheme="minorEastAsia" w:hAnsi="Tahoma" w:cs="Tahoma"/>
      <w:color w:val="000000"/>
      <w:sz w:val="24"/>
      <w:szCs w:val="24"/>
      <w:lang w:eastAsia="sl-SI"/>
    </w:rPr>
  </w:style>
  <w:style w:type="table" w:styleId="TableGrid">
    <w:name w:val="Table Grid"/>
    <w:basedOn w:val="TableNormal"/>
    <w:uiPriority w:val="59"/>
    <w:rsid w:val="00AE1A08"/>
    <w:pPr>
      <w:spacing w:after="0" w:line="240" w:lineRule="auto"/>
    </w:pPr>
    <w:rPr>
      <w:rFonts w:eastAsiaTheme="minorEastAsia"/>
      <w:lang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tival.si" TargetMode="External"/><Relationship Id="rId5" Type="http://schemas.openxmlformats.org/officeDocument/2006/relationships/hyperlink" Target="http://www.he.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Pajić</dc:creator>
  <cp:keywords/>
  <dc:description/>
  <cp:lastModifiedBy>Vesna Pajić</cp:lastModifiedBy>
  <cp:revision>2</cp:revision>
  <dcterms:created xsi:type="dcterms:W3CDTF">2016-01-12T13:58:00Z</dcterms:created>
  <dcterms:modified xsi:type="dcterms:W3CDTF">2016-01-13T08:40:00Z</dcterms:modified>
</cp:coreProperties>
</file>